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jc w:val="distribute"/>
        <w:rPr>
          <w:rFonts w:hint="eastAsia" w:ascii="方正小标宋_GBK" w:hAnsi="华文中宋" w:eastAsia="方正小标宋_GBK"/>
          <w:b w:val="0"/>
          <w:bCs/>
          <w:sz w:val="44"/>
          <w:szCs w:val="44"/>
          <w:lang w:eastAsia="zh-CN"/>
        </w:rPr>
      </w:pP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5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 w:ascii="方正小标宋_GBK" w:hAnsi="华文中宋" w:eastAsia="方正小标宋_GBK"/>
                <w:b w:val="0"/>
                <w:bCs/>
                <w:color w:val="C00000"/>
                <w:sz w:val="52"/>
                <w:szCs w:val="52"/>
                <w:vertAlign w:val="baseline"/>
                <w:lang w:eastAsia="zh-CN"/>
              </w:rPr>
            </w:pPr>
          </w:p>
          <w:p>
            <w:pPr>
              <w:tabs>
                <w:tab w:val="right" w:pos="8306"/>
              </w:tabs>
              <w:jc w:val="distribute"/>
              <w:rPr>
                <w:rFonts w:hint="eastAsia" w:ascii="方正小标宋_GBK" w:hAnsi="华文中宋" w:eastAsia="方正小标宋_GBK"/>
                <w:b w:val="0"/>
                <w:bCs/>
                <w:color w:val="C00000"/>
                <w:sz w:val="52"/>
                <w:szCs w:val="52"/>
                <w:vertAlign w:val="baseline"/>
                <w:lang w:eastAsia="zh-CN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方正小标宋_GBK" w:hAnsi="华文中宋" w:eastAsia="方正小标宋_GBK"/>
                <w:b w:val="0"/>
                <w:bCs/>
                <w:color w:val="C00000"/>
                <w:sz w:val="52"/>
                <w:szCs w:val="52"/>
                <w:vertAlign w:val="baseline"/>
                <w:lang w:eastAsia="zh-CN"/>
              </w:rPr>
            </w:pPr>
          </w:p>
        </w:tc>
      </w:tr>
    </w:tbl>
    <w:p>
      <w:pPr>
        <w:tabs>
          <w:tab w:val="right" w:pos="8306"/>
        </w:tabs>
        <w:jc w:val="center"/>
        <w:rPr>
          <w:rFonts w:hint="eastAsia" w:ascii="方正小标宋_GBK" w:hAnsi="华文中宋" w:eastAsia="方正小标宋_GBK"/>
          <w:b w:val="0"/>
          <w:bCs/>
          <w:sz w:val="44"/>
          <w:szCs w:val="44"/>
        </w:rPr>
      </w:pPr>
    </w:p>
    <w:p>
      <w:pPr>
        <w:tabs>
          <w:tab w:val="right" w:pos="8306"/>
        </w:tabs>
        <w:jc w:val="center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泰发改信用〔202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〕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144号</w:t>
      </w:r>
    </w:p>
    <w:p>
      <w:pPr>
        <w:tabs>
          <w:tab w:val="right" w:pos="8306"/>
        </w:tabs>
        <w:jc w:val="center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</w:p>
    <w:p>
      <w:pPr>
        <w:pStyle w:val="11"/>
      </w:pPr>
      <w:r>
        <w:rPr>
          <w:rFonts w:hint="eastAsia"/>
        </w:rPr>
        <w:t>关于加强信用预警信用修复</w:t>
      </w:r>
      <w:r>
        <w:t xml:space="preserve"> </w:t>
      </w:r>
      <w:bookmarkStart w:id="0" w:name="_GoBack"/>
      <w:bookmarkEnd w:id="0"/>
      <w:r>
        <w:rPr>
          <w:rFonts w:hint="eastAsia"/>
        </w:rPr>
        <w:t>落实“我为群众办实事”工作的通知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各县市区发改局、岱岳区社会信用中心，各功能区经发部，市有关部门：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贯彻落实国家、省和泰安市关于“进一步完善失信约束制度、信用修复机制”的工作部署，扎实推进党史学习教育，深入开展“我为群众办实事”活动，提升“信用预警+信用修复”政务服务品牌影响力，着力解决一批企业最关心最直接最现实的利益问题，现就做好加强信用预警信用修复相关工作通知如下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一、重要意义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1、</w:t>
      </w:r>
      <w:r>
        <w:rPr>
          <w:rStyle w:val="18"/>
          <w:rFonts w:hint="eastAsia" w:ascii="楷体_GB2312" w:hAnsi="楷体_GB2312" w:eastAsia="楷体_GB2312" w:cs="楷体_GB2312"/>
        </w:rPr>
        <w:t>信用修复是社会信用体系建设的重要举措。</w:t>
      </w:r>
      <w:r>
        <w:rPr>
          <w:rFonts w:hint="eastAsia" w:ascii="仿宋_GB2312" w:hAnsi="仿宋_GB2312" w:eastAsia="仿宋_GB2312" w:cs="仿宋_GB2312"/>
        </w:rPr>
        <w:t>信用修复是一种允许失信主体实行自我纠错、主动自新的社会救济措施，是构建以信用为核心的事中事后监管机制的必然要求，是完善信用奖惩的重要环节。建立和完善信用修复制度，有利于深化放管服服务，激发失信主体的守信意愿，鼓励和引导其主动改正违法失信行为、消除社会不良影响和提升信用水平，进一步规范市场经济秩序，营造诚实守信的社会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Style w:val="18"/>
          <w:rFonts w:hint="eastAsia" w:ascii="楷体_GB2312" w:hAnsi="楷体_GB2312" w:eastAsia="楷体_GB2312" w:cs="楷体_GB2312"/>
        </w:rPr>
        <w:t>2、信用预警信用修复是“我为群众办实事”在信用领域的具体实践。</w:t>
      </w:r>
      <w:r>
        <w:rPr>
          <w:rFonts w:hint="eastAsia" w:ascii="仿宋_GB2312" w:hAnsi="仿宋_GB2312" w:eastAsia="仿宋_GB2312" w:cs="仿宋_GB2312"/>
        </w:rPr>
        <w:t>中小微企业由于信用管理欠缺，存在着非故意或是偶然因素造成失信的现象，影响其正常参与招投标、市场准入、享受优惠政策等经济活动。信用修复通过依法合规的方式，及时预警失信行为，促使失信企业提升信用意识，失信记录能修复尽修复，及时消除信用“污点”，消除失信风险，有利于其重新参与正常的经济活动，助力经济社会高质量发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Style w:val="18"/>
          <w:rFonts w:hint="eastAsia" w:ascii="楷体_GB2312" w:hAnsi="楷体_GB2312" w:eastAsia="楷体_GB2312" w:cs="楷体_GB2312"/>
        </w:rPr>
        <w:t>3、信用预警信用修复是为企业创造诚信宽松运营环境的必然要求。</w:t>
      </w:r>
      <w:r>
        <w:rPr>
          <w:rFonts w:hint="eastAsia" w:ascii="仿宋_GB2312" w:hAnsi="仿宋_GB2312" w:eastAsia="仿宋_GB2312" w:cs="仿宋_GB2312"/>
        </w:rPr>
        <w:t>各县市区、功能区要以国家“双十”失信问题专项治理活动为指导，大力宣传信用修复政策，充分释放信用政策红利，在“信用中国”网站上全面梳理筛选本地失信企业，理顺工作流程，形成长效机制，抓紧抓实信用预警信用修复相关工作，确保全市企业对自身信用状况全明了，失信记录应预警尽预警、能修复尽修复，全力为企业健康发展创造更加宽松的运营环境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二、主要工作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Style w:val="18"/>
          <w:rFonts w:hint="eastAsia" w:ascii="楷体_GB2312" w:hAnsi="楷体_GB2312" w:eastAsia="楷体_GB2312" w:cs="楷体_GB2312"/>
        </w:rPr>
        <w:t>1、明确修复范围条件。</w:t>
      </w:r>
      <w:r>
        <w:rPr>
          <w:rFonts w:hint="eastAsia" w:ascii="仿宋_GB2312" w:hAnsi="仿宋_GB2312" w:eastAsia="仿宋_GB2312" w:cs="仿宋_GB2312"/>
        </w:rPr>
        <w:t>（1）信用修复的主要对象为“信用中国”“信用中国（山东）”“信用中国（山东泰安）”公示期内的行政处罚失信信息。（2）信用修复的必要条件为失信市场主体法定义务已履行、失信行为已整改，且行政处罚失信信息已满最短公示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Style w:val="18"/>
          <w:rFonts w:hint="eastAsia" w:ascii="楷体_GB2312" w:hAnsi="楷体_GB2312" w:eastAsia="楷体_GB2312" w:cs="楷体_GB2312"/>
        </w:rPr>
        <w:t>2、筛选确定任务名单。</w:t>
      </w:r>
      <w:r>
        <w:rPr>
          <w:rFonts w:hint="eastAsia" w:ascii="仿宋_GB2312" w:hAnsi="仿宋_GB2312" w:eastAsia="仿宋_GB2312" w:cs="仿宋_GB2312"/>
        </w:rPr>
        <w:t>（1）市信用信息中心通过技术手段，检索、梳理符合条件的市场主体失信情况，筛选、形成全市失信企业失信信息清单。（2）市发展改革委根据有关规定确定清单，按照属地、属责原则，分发各县市区、功能区、市有关部门单位处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Style w:val="18"/>
          <w:rFonts w:hint="eastAsia" w:ascii="楷体_GB2312" w:hAnsi="楷体_GB2312" w:eastAsia="楷体_GB2312" w:cs="楷体_GB2312"/>
        </w:rPr>
        <w:t>3、组织实施</w:t>
      </w:r>
      <w:r>
        <w:rPr>
          <w:rStyle w:val="18"/>
          <w:rFonts w:hint="eastAsia" w:ascii="楷体_GB2312" w:hAnsi="楷体_GB2312" w:eastAsia="楷体_GB2312" w:cs="楷体_GB2312"/>
          <w:lang w:val="en-US" w:eastAsia="zh-CN"/>
        </w:rPr>
        <w:t>预警</w:t>
      </w:r>
      <w:r>
        <w:rPr>
          <w:rStyle w:val="18"/>
          <w:rFonts w:hint="eastAsia" w:ascii="楷体_GB2312" w:hAnsi="楷体_GB2312" w:eastAsia="楷体_GB2312" w:cs="楷体_GB2312"/>
        </w:rPr>
        <w:t>修复。</w:t>
      </w:r>
      <w:r>
        <w:rPr>
          <w:rFonts w:hint="eastAsia" w:ascii="仿宋_GB2312" w:hAnsi="仿宋_GB2312" w:eastAsia="仿宋_GB2312" w:cs="仿宋_GB2312"/>
        </w:rPr>
        <w:t>各县市区、功能区及市有关部门</w:t>
      </w:r>
      <w:r>
        <w:rPr>
          <w:rFonts w:hint="eastAsia" w:ascii="仿宋_GB2312" w:hAnsi="仿宋_GB2312" w:eastAsia="仿宋_GB2312" w:cs="仿宋_GB2312"/>
          <w:lang w:val="en-US" w:eastAsia="zh-CN"/>
        </w:rPr>
        <w:t>根据市发改委推送的企业名单，积极认领、</w:t>
      </w:r>
      <w:r>
        <w:rPr>
          <w:rFonts w:hint="eastAsia" w:ascii="仿宋_GB2312" w:hAnsi="仿宋_GB2312" w:eastAsia="仿宋_GB2312" w:cs="仿宋_GB2312"/>
        </w:rPr>
        <w:t>建立所属名单的修复台账</w:t>
      </w:r>
      <w:r>
        <w:rPr>
          <w:rFonts w:hint="eastAsia" w:ascii="仿宋_GB2312" w:hAnsi="仿宋_GB2312" w:eastAsia="仿宋_GB2312" w:cs="仿宋_GB231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</w:rPr>
        <w:t>6月30日前</w:t>
      </w:r>
      <w:r>
        <w:rPr>
          <w:rFonts w:hint="eastAsia" w:ascii="仿宋_GB2312" w:hAnsi="仿宋_GB2312" w:eastAsia="仿宋_GB2312" w:cs="仿宋_GB2312"/>
          <w:lang w:val="en-US" w:eastAsia="zh-CN"/>
        </w:rPr>
        <w:t>反馈</w:t>
      </w:r>
      <w:r>
        <w:rPr>
          <w:rFonts w:hint="eastAsia" w:ascii="仿宋_GB2312" w:hAnsi="仿宋_GB2312" w:eastAsia="仿宋_GB2312" w:cs="仿宋_GB2312"/>
        </w:rPr>
        <w:t>信用信息中心汇总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对台账内企业，及时发出预警提示，督促符合条件的进行信用修复，并定期上报信用信息中心。</w:t>
      </w:r>
      <w:r>
        <w:rPr>
          <w:rFonts w:hint="eastAsia" w:ascii="仿宋_GB2312" w:hAnsi="仿宋_GB2312" w:eastAsia="仿宋_GB2312" w:cs="仿宋_GB2312"/>
        </w:rPr>
        <w:t>（1）行政处罚失信信息通过“信用中国”网站公示的，通过“信用中国”在线修复功能模块，提交证明材料，进行信用修复。修复成功后，各级信用网站同步撤销公示。（2）失信信息通过“信用中国（山东）”“信用中国（山东泰安）”网站公示的，需分别向“信用中国（山东）”“信用中国（山东泰安）”网站提交证明材料，进行信用修复。修复结果同步向各县市区推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国家修复办法出台后，按新办法执行。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三、有关要求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Style w:val="18"/>
          <w:rFonts w:hint="eastAsia" w:ascii="楷体_GB2312" w:hAnsi="楷体_GB2312" w:eastAsia="楷体_GB2312" w:cs="楷体_GB2312"/>
        </w:rPr>
        <w:t>1、加强组织领导。</w:t>
      </w:r>
      <w:r>
        <w:rPr>
          <w:rFonts w:hint="eastAsia" w:ascii="仿宋_GB2312" w:hAnsi="仿宋_GB2312" w:eastAsia="仿宋_GB2312" w:cs="仿宋_GB2312"/>
        </w:rPr>
        <w:t>“信用预警”“信用修复”是加强社会信用体系建设、优化营商环境的重要举措。各级各有关部门务必高度重视，要选派精兵强将、组建工作专班，全力以赴、高位推动、抓好落实。要综合运用网络、报纸、电视、电台等多种方式组织开展专项宣传，引导企业关心关注信用建设，切实提升企业诚信水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Style w:val="18"/>
          <w:rFonts w:hint="eastAsia" w:ascii="楷体_GB2312" w:hAnsi="楷体_GB2312" w:eastAsia="楷体_GB2312" w:cs="楷体_GB2312"/>
        </w:rPr>
        <w:t>2、强化督导落实。</w:t>
      </w:r>
      <w:r>
        <w:rPr>
          <w:rFonts w:hint="eastAsia" w:ascii="仿宋_GB2312" w:hAnsi="仿宋_GB2312" w:eastAsia="仿宋_GB2312" w:cs="仿宋_GB2312"/>
        </w:rPr>
        <w:t>市发改委将及时调度工作进展情况，总结、推广工作推进过程中的好经验、好做法，并适时组织现场调度、督导活动。各级各有关部门要按照“应预警尽预警、能修复尽修复”要求，灵活运用集中宣讲、实地走访、信函短信提醒等形式，主动帮助和指导本地市场主体完成信用修复，切实把好事办实、把实事办好，深入挖掘和充分发挥信用在促进经济社会高质量发展中的积极作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Style w:val="18"/>
          <w:rFonts w:hint="eastAsia" w:ascii="楷体_GB2312" w:hAnsi="楷体_GB2312" w:eastAsia="楷体_GB2312" w:cs="楷体_GB2312"/>
        </w:rPr>
        <w:t>3、健全长效机制。</w:t>
      </w:r>
      <w:r>
        <w:rPr>
          <w:rFonts w:hint="eastAsia" w:ascii="仿宋_GB2312" w:hAnsi="仿宋_GB2312" w:eastAsia="仿宋_GB2312" w:cs="仿宋_GB2312"/>
        </w:rPr>
        <w:t>各级各有关部门要结合“学史力行、为民办事”开展工作，立足本职、打破常规、超前服务，建立健全信用预警、信用修复工作制度体系，明确分管领导，确定专人负责，及时接收失信企业名单，对屡改屡犯、多次产生失信行为的企业，要适时采取询访、约谈、向监管部门发送提示函等手段，强化警示提醒。同时，大力推进行政许可、行政处罚信用信息“双公示”，着力提高公共信用信息归集共享应用水平，努力把我市打造成诚信营商环境新高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zh-CN"/>
        </w:rPr>
        <w:t>联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zh-CN"/>
        </w:rPr>
        <w:t>系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zh-CN"/>
        </w:rPr>
        <w:t>人：颜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zh-CN"/>
        </w:rPr>
        <w:t>迎</w:t>
      </w:r>
      <w:r>
        <w:rPr>
          <w:rFonts w:hint="eastAsia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王洪帅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"mailto:ytsxjb@163.com" \h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lang w:val="zh-CN"/>
        </w:rPr>
        <w:t>联系电话：</w:t>
      </w:r>
      <w:r>
        <w:rPr>
          <w:rFonts w:hint="eastAsia" w:ascii="仿宋_GB2312" w:hAnsi="仿宋_GB2312" w:eastAsia="仿宋_GB2312" w:cs="仿宋_GB2312"/>
        </w:rPr>
        <w:t>6990180</w:t>
      </w:r>
      <w:r>
        <w:rPr>
          <w:rFonts w:hint="eastAsia" w:ascii="仿宋_GB2312" w:hAnsi="仿宋_GB2312" w:eastAsia="仿宋_GB2312" w:cs="仿宋_GB2312"/>
          <w:lang w:val="zh-CN"/>
        </w:rPr>
        <w:t xml:space="preserve">   6991691</w:t>
      </w:r>
      <w:r>
        <w:rPr>
          <w:rFonts w:hint="eastAsia" w:ascii="仿宋_GB2312" w:hAnsi="仿宋_GB2312" w:eastAsia="仿宋_GB2312" w:cs="仿宋_GB2312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lang w:val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zh-CN"/>
        </w:rPr>
        <w:t>公务邮箱：tasxyb@ta.shandong.cn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168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附件：1、行政处罚失信信息分类标准和公示期限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60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xxx（县市区、功能区）信用预警信用修复工作台账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600" w:leftChars="0" w:firstLine="0" w:firstLineChars="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行政处罚筛选名单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center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</w:rPr>
        <w:t>泰安市发展和改革委员会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center"/>
        <w:textAlignment w:val="auto"/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</w:rPr>
        <w:t>2021年6月</w:t>
      </w:r>
      <w:r>
        <w:rPr>
          <w:rFonts w:hint="eastAsia" w:ascii="仿宋_GB2312" w:hAnsi="仿宋_GB2312" w:eastAsia="仿宋_GB2312" w:cs="仿宋_GB231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sectPr>
          <w:footerReference r:id="rId5" w:type="default"/>
          <w:footerReference r:id="rId6" w:type="even"/>
          <w:pgSz w:w="11906" w:h="16838"/>
          <w:pgMar w:top="2041" w:right="1588" w:bottom="2041" w:left="1588" w:header="851" w:footer="1701" w:gutter="0"/>
          <w:cols w:space="720" w:num="1"/>
          <w:docGrid w:type="linesAndChars" w:linePitch="312" w:charSpace="0"/>
        </w:sectPr>
      </w:pPr>
    </w:p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行政处罚失信信息分类标准和公示期限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/>
        <w:ind w:firstLine="31680"/>
        <w:textAlignment w:val="auto"/>
        <w:rPr>
          <w:rFonts w:hint="eastAsia"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</w:rPr>
        <w:t>根据《国家发展改革委办公厅关于进一步完善“信用中国”网站及地方信用门户网站行政处罚信息信用修复机制的通知》（发改办财金〔2019〕527号），行政处罚失信信息分为一般失信信息、严重失信信息和特定严重失信信息。</w:t>
      </w:r>
    </w:p>
    <w:p>
      <w:pPr>
        <w:pStyle w:val="2"/>
        <w:ind w:firstLine="31680"/>
        <w:rPr>
          <w:rFonts w:hint="eastAsia"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  <w:lang w:val="zh-CN"/>
        </w:rPr>
        <w:t>一、一般失信信息</w:t>
      </w:r>
    </w:p>
    <w:p>
      <w:pPr>
        <w:ind w:firstLine="31680"/>
        <w:rPr>
          <w:rFonts w:hint="eastAsia"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</w:rPr>
        <w:t>分类标准：</w:t>
      </w:r>
      <w:r>
        <w:rPr>
          <w:rFonts w:hint="eastAsia" w:ascii="仿宋_GB2312" w:hAnsi="仿宋_GB2312" w:eastAsia="仿宋_GB2312" w:cs="仿宋_GB2312"/>
          <w:lang w:val="zh-CN"/>
        </w:rPr>
        <w:t>性质较轻、情节轻微、社会危害程度较小的行政处罚信息。一是处罚决定书中含有情节严重等字样，但处罚结果仅为警告的，原则上按一般处理。二是对于个别处罚决定书内容描述不完整不明确，是否属于严重性质判定不一致时，以原行政处罚机关意见为准。</w:t>
      </w:r>
    </w:p>
    <w:p>
      <w:pPr>
        <w:ind w:firstLine="31680"/>
        <w:rPr>
          <w:rFonts w:hint="eastAsia"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</w:rPr>
        <w:t>公示期限：自行政处罚决定之日起，最短公示期限为3个月，最长公示期限为1年。</w:t>
      </w:r>
    </w:p>
    <w:p>
      <w:pPr>
        <w:pStyle w:val="2"/>
        <w:ind w:firstLine="31680"/>
        <w:rPr>
          <w:rFonts w:hint="eastAsia"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  <w:lang w:val="zh-CN"/>
        </w:rPr>
        <w:t>二、严重失信信息</w:t>
      </w:r>
    </w:p>
    <w:p>
      <w:pPr>
        <w:ind w:firstLine="3168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分类标准：一是527号文中明确涉及的四类行为的行政处罚信息。二是结合处罚依据具体条款可明确判定“情节严重”情形， 如处罚依据规定，“情节一般的处1万元以上5万元以下罚款，情节严重的处5万元以上10万元以下罚款”，则罚款 3万元为一般失信行为，罚款8万元为严重失信行为；如“情节一般的处5万元以上20万元以下罚款，情节严重的处20万元以上50万元以下罚款”，则罚款10万元为一般失信行为，罚款30万元为严重失信行为。三是处罚决定部门认定的涉及严重失信的行政处罚信息。</w:t>
      </w:r>
    </w:p>
    <w:p>
      <w:pPr>
        <w:ind w:firstLine="31680"/>
        <w:rPr>
          <w:rFonts w:hint="eastAsia"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</w:rPr>
        <w:t>公示期限：自行政处罚决定之日起，最短公示期限为6个月，最长公示期限为3年。</w:t>
      </w:r>
    </w:p>
    <w:p>
      <w:pPr>
        <w:ind w:firstLine="31680"/>
        <w:rPr>
          <w:rFonts w:hint="eastAsia" w:ascii="黑体" w:hAnsi="黑体" w:eastAsia="黑体" w:cs="黑体"/>
          <w:bCs/>
          <w:kern w:val="44"/>
          <w:sz w:val="32"/>
          <w:szCs w:val="44"/>
          <w:lang w:val="zh-CN" w:eastAsia="zh-CN" w:bidi="ar-SA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val="zh-CN" w:eastAsia="zh-CN" w:bidi="ar-SA"/>
        </w:rPr>
        <w:t>三、特定严重失信信息</w:t>
      </w:r>
    </w:p>
    <w:p>
      <w:pPr>
        <w:ind w:firstLine="31680"/>
        <w:rPr>
          <w:rFonts w:hint="eastAsia"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分类标准：一是527号文中明确涉及6大领域、16种行为被处以责令停产停业，或吊销许可证、吊销执照的行政处罚信息。二是法律、法规、规章另有规定不可修复的行政处罚信息。</w:t>
      </w:r>
    </w:p>
    <w:p>
      <w:pPr>
        <w:ind w:firstLine="31680"/>
        <w:rPr>
          <w:lang w:val="zh-CN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701" w:right="1587" w:bottom="1701" w:left="1587" w:header="851" w:footer="992" w:gutter="0"/>
          <w:cols w:space="0" w:num="1"/>
          <w:docGrid w:type="lines" w:linePitch="436" w:charSpace="0"/>
        </w:sectPr>
      </w:pPr>
      <w:r>
        <w:rPr>
          <w:rFonts w:hint="eastAsia" w:ascii="仿宋_GB2312" w:hAnsi="仿宋_GB2312" w:eastAsia="仿宋_GB2312" w:cs="仿宋_GB2312"/>
          <w:lang w:val="zh-CN"/>
        </w:rPr>
        <w:t>公示期限：按最长公示期3年予以公示，公示期间不予修复，最长公示期届满后按照超过最长公示期的信息修复。</w:t>
      </w:r>
    </w:p>
    <w:p>
      <w:pPr>
        <w:ind w:firstLine="0" w:firstLineChars="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附件2</w:t>
      </w:r>
    </w:p>
    <w:tbl>
      <w:tblPr>
        <w:tblStyle w:val="12"/>
        <w:tblW w:w="15480" w:type="dxa"/>
        <w:tblInd w:w="-63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00"/>
        <w:gridCol w:w="2250"/>
        <w:gridCol w:w="1479"/>
        <w:gridCol w:w="2211"/>
        <w:gridCol w:w="2175"/>
        <w:gridCol w:w="2205"/>
        <w:gridCol w:w="1665"/>
        <w:gridCol w:w="120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xxx（县市区、功能区）信用预警信用修复工作台账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截至日期：   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行政处罚数</w:t>
            </w:r>
          </w:p>
        </w:tc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是否处于在营状态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是否发出信用预警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是否完成信用修复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是否退出台账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  <w:sectPr>
          <w:pgSz w:w="16838" w:h="11906" w:orient="landscape"/>
          <w:pgMar w:top="1587" w:right="1701" w:bottom="1587" w:left="1701" w:header="851" w:footer="992" w:gutter="0"/>
          <w:cols w:space="0" w:num="1"/>
          <w:docGrid w:type="lines" w:linePitch="436" w:charSpace="0"/>
        </w:sect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p>
      <w:pPr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政府信息公开选项：主动公开</w:t>
      </w:r>
    </w:p>
    <w:tbl>
      <w:tblPr>
        <w:tblStyle w:val="12"/>
        <w:tblW w:w="87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tcBorders>
              <w:left w:val="nil"/>
              <w:right w:val="nil"/>
            </w:tcBorders>
          </w:tcPr>
          <w:p>
            <w:pPr>
              <w:spacing w:before="156" w:after="156"/>
              <w:ind w:firstLine="0" w:firstLineChars="0"/>
              <w:jc w:val="left"/>
              <w:textAlignment w:val="baseline"/>
              <w:rPr>
                <w:spacing w:val="-16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泰安市</w:t>
            </w:r>
            <w:r>
              <w:rPr>
                <w:rFonts w:hint="eastAsia" w:ascii="仿宋_GB2312" w:hAnsi="仿宋_GB2312" w:eastAsia="仿宋_GB2312" w:cs="仿宋_GB2312"/>
                <w:spacing w:val="-16"/>
                <w:lang w:val="en-US" w:eastAsia="zh-CN"/>
              </w:rPr>
              <w:t>发展和改革委员会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 xml:space="preserve">办公室    </w:t>
            </w:r>
            <w:r>
              <w:rPr>
                <w:rFonts w:hint="eastAsia" w:ascii="仿宋_GB2312" w:hAnsi="仿宋_GB2312" w:eastAsia="仿宋_GB2312" w:cs="仿宋_GB2312"/>
                <w:spacing w:val="-16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pacing w:val="-16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6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日印发</w:t>
            </w:r>
          </w:p>
        </w:tc>
      </w:tr>
    </w:tbl>
    <w:p>
      <w:pPr>
        <w:ind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320" w:leftChars="100" w:right="320" w:rightChars="100" w:firstLine="31680"/>
      <w:rPr>
        <w:rStyle w:val="15"/>
        <w:sz w:val="28"/>
        <w:szCs w:val="28"/>
      </w:rPr>
    </w:pPr>
    <w:r>
      <w:rPr>
        <w:rStyle w:val="15"/>
        <w:sz w:val="28"/>
        <w:szCs w:val="28"/>
      </w:rPr>
      <w:t xml:space="preserve">— </w:t>
    </w:r>
    <w:r>
      <w:rPr>
        <w:rStyle w:val="15"/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rStyle w:val="15"/>
        <w:sz w:val="28"/>
        <w:szCs w:val="28"/>
      </w:rPr>
      <w:fldChar w:fldCharType="separate"/>
    </w:r>
    <w:r>
      <w:rPr>
        <w:rStyle w:val="15"/>
        <w:sz w:val="28"/>
        <w:szCs w:val="28"/>
      </w:rPr>
      <w:t>3</w:t>
    </w:r>
    <w:r>
      <w:rPr>
        <w:rStyle w:val="15"/>
        <w:sz w:val="28"/>
        <w:szCs w:val="28"/>
      </w:rPr>
      <w:fldChar w:fldCharType="end"/>
    </w:r>
    <w:r>
      <w:rPr>
        <w:rStyle w:val="15"/>
        <w:sz w:val="28"/>
        <w:szCs w:val="28"/>
      </w:rPr>
      <w:t xml:space="preserve"> —</w:t>
    </w:r>
  </w:p>
  <w:p>
    <w:pPr>
      <w:pStyle w:val="8"/>
      <w:ind w:right="360" w:firstLine="316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ind w:firstLine="31680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8"/>
      <w:ind w:right="360" w:firstLine="316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left="720" w:right="360" w:firstLine="0" w:firstLineChars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right="360" w:firstLineChars="0"/>
      <w:rPr>
        <w:sz w:val="16"/>
      </w:rPr>
    </w:pPr>
    <w:r>
      <w:rPr>
        <w:sz w:val="28"/>
        <w:szCs w:val="30"/>
      </w:rPr>
      <w:t xml:space="preserve">— </w:t>
    </w:r>
    <w:r>
      <w:rPr>
        <w:sz w:val="28"/>
        <w:szCs w:val="30"/>
      </w:rPr>
      <w:fldChar w:fldCharType="begin"/>
    </w:r>
    <w:r>
      <w:rPr>
        <w:sz w:val="28"/>
        <w:szCs w:val="30"/>
      </w:rPr>
      <w:instrText xml:space="preserve">PAGE   \* MERGEFORMAT</w:instrText>
    </w:r>
    <w:r>
      <w:rPr>
        <w:sz w:val="28"/>
        <w:szCs w:val="30"/>
      </w:rPr>
      <w:fldChar w:fldCharType="separate"/>
    </w:r>
    <w:r>
      <w:rPr>
        <w:sz w:val="28"/>
        <w:szCs w:val="30"/>
      </w:rPr>
      <w:t>1</w:t>
    </w:r>
    <w:r>
      <w:rPr>
        <w:sz w:val="28"/>
        <w:szCs w:val="30"/>
      </w:rPr>
      <w:fldChar w:fldCharType="end"/>
    </w:r>
    <w:r>
      <w:rPr>
        <w:sz w:val="28"/>
        <w:szCs w:val="30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316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16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1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31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4D2D3"/>
    <w:multiLevelType w:val="singleLevel"/>
    <w:tmpl w:val="7004D2D3"/>
    <w:lvl w:ilvl="0" w:tentative="0">
      <w:start w:val="2"/>
      <w:numFmt w:val="decimal"/>
      <w:suff w:val="nothing"/>
      <w:lvlText w:val="%1、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HorizontalSpacing w:val="160"/>
  <w:drawingGridVerticalSpacing w:val="21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3B43DF"/>
    <w:rsid w:val="00002A36"/>
    <w:rsid w:val="0000786D"/>
    <w:rsid w:val="00016CA2"/>
    <w:rsid w:val="00017D95"/>
    <w:rsid w:val="00017E8C"/>
    <w:rsid w:val="00026346"/>
    <w:rsid w:val="0003134F"/>
    <w:rsid w:val="00035B93"/>
    <w:rsid w:val="000509A1"/>
    <w:rsid w:val="00063986"/>
    <w:rsid w:val="000703EA"/>
    <w:rsid w:val="00075A08"/>
    <w:rsid w:val="000764B7"/>
    <w:rsid w:val="00085A7F"/>
    <w:rsid w:val="000923DB"/>
    <w:rsid w:val="0009701D"/>
    <w:rsid w:val="000A7951"/>
    <w:rsid w:val="000C7013"/>
    <w:rsid w:val="000C721E"/>
    <w:rsid w:val="000E12B3"/>
    <w:rsid w:val="000F53AE"/>
    <w:rsid w:val="00107596"/>
    <w:rsid w:val="0013778F"/>
    <w:rsid w:val="00161731"/>
    <w:rsid w:val="00170DDA"/>
    <w:rsid w:val="00172A1E"/>
    <w:rsid w:val="0019384F"/>
    <w:rsid w:val="001A0892"/>
    <w:rsid w:val="001B292B"/>
    <w:rsid w:val="001B32D6"/>
    <w:rsid w:val="001C2F7A"/>
    <w:rsid w:val="001C48C7"/>
    <w:rsid w:val="001D1C2A"/>
    <w:rsid w:val="001F0D4F"/>
    <w:rsid w:val="0020056E"/>
    <w:rsid w:val="00200B63"/>
    <w:rsid w:val="00202913"/>
    <w:rsid w:val="002069BF"/>
    <w:rsid w:val="00232A51"/>
    <w:rsid w:val="0024633D"/>
    <w:rsid w:val="002634FF"/>
    <w:rsid w:val="00267F75"/>
    <w:rsid w:val="00272BBC"/>
    <w:rsid w:val="00292126"/>
    <w:rsid w:val="002932F4"/>
    <w:rsid w:val="0029454F"/>
    <w:rsid w:val="00297F96"/>
    <w:rsid w:val="002B32E7"/>
    <w:rsid w:val="002B4E51"/>
    <w:rsid w:val="002C15BA"/>
    <w:rsid w:val="002C1F6D"/>
    <w:rsid w:val="002C4143"/>
    <w:rsid w:val="002C5542"/>
    <w:rsid w:val="002D7BC9"/>
    <w:rsid w:val="0030568D"/>
    <w:rsid w:val="00317DC6"/>
    <w:rsid w:val="0033565E"/>
    <w:rsid w:val="00353116"/>
    <w:rsid w:val="00363DCA"/>
    <w:rsid w:val="00386C68"/>
    <w:rsid w:val="00387CBC"/>
    <w:rsid w:val="00394CED"/>
    <w:rsid w:val="003A65A4"/>
    <w:rsid w:val="003E2718"/>
    <w:rsid w:val="00403A74"/>
    <w:rsid w:val="0040696F"/>
    <w:rsid w:val="004072DF"/>
    <w:rsid w:val="00415431"/>
    <w:rsid w:val="004303FD"/>
    <w:rsid w:val="0043154F"/>
    <w:rsid w:val="004335F3"/>
    <w:rsid w:val="00461B38"/>
    <w:rsid w:val="00467A07"/>
    <w:rsid w:val="004750B7"/>
    <w:rsid w:val="00483331"/>
    <w:rsid w:val="00490D88"/>
    <w:rsid w:val="00492817"/>
    <w:rsid w:val="00497AFA"/>
    <w:rsid w:val="004D0E4B"/>
    <w:rsid w:val="004E6901"/>
    <w:rsid w:val="00562A72"/>
    <w:rsid w:val="00565AC5"/>
    <w:rsid w:val="00572FA7"/>
    <w:rsid w:val="00576E6D"/>
    <w:rsid w:val="00594D7E"/>
    <w:rsid w:val="00597F13"/>
    <w:rsid w:val="005A1A16"/>
    <w:rsid w:val="005A7CE0"/>
    <w:rsid w:val="005C4CEA"/>
    <w:rsid w:val="005D2077"/>
    <w:rsid w:val="005D7F9E"/>
    <w:rsid w:val="005E142E"/>
    <w:rsid w:val="00601226"/>
    <w:rsid w:val="00623FE8"/>
    <w:rsid w:val="006247A9"/>
    <w:rsid w:val="00625D07"/>
    <w:rsid w:val="006650F1"/>
    <w:rsid w:val="00675D69"/>
    <w:rsid w:val="00682814"/>
    <w:rsid w:val="00682BA8"/>
    <w:rsid w:val="006848B1"/>
    <w:rsid w:val="00687829"/>
    <w:rsid w:val="006917F1"/>
    <w:rsid w:val="006C3444"/>
    <w:rsid w:val="006D1AD3"/>
    <w:rsid w:val="006E0266"/>
    <w:rsid w:val="00710B65"/>
    <w:rsid w:val="007177FA"/>
    <w:rsid w:val="00752052"/>
    <w:rsid w:val="00766C27"/>
    <w:rsid w:val="00770F2F"/>
    <w:rsid w:val="0078211C"/>
    <w:rsid w:val="00783B28"/>
    <w:rsid w:val="007B0AD3"/>
    <w:rsid w:val="007C0832"/>
    <w:rsid w:val="007D347C"/>
    <w:rsid w:val="007D4386"/>
    <w:rsid w:val="007D53E2"/>
    <w:rsid w:val="007E57F3"/>
    <w:rsid w:val="007E7C75"/>
    <w:rsid w:val="007F5352"/>
    <w:rsid w:val="008123AD"/>
    <w:rsid w:val="00825F8B"/>
    <w:rsid w:val="00842113"/>
    <w:rsid w:val="00852A16"/>
    <w:rsid w:val="00853B7F"/>
    <w:rsid w:val="00855996"/>
    <w:rsid w:val="00861DEE"/>
    <w:rsid w:val="00862DB2"/>
    <w:rsid w:val="008649D2"/>
    <w:rsid w:val="008834D6"/>
    <w:rsid w:val="008D08B2"/>
    <w:rsid w:val="009239A3"/>
    <w:rsid w:val="009322D6"/>
    <w:rsid w:val="0094310F"/>
    <w:rsid w:val="00972590"/>
    <w:rsid w:val="00980715"/>
    <w:rsid w:val="00980FB5"/>
    <w:rsid w:val="00986C9C"/>
    <w:rsid w:val="009B03B5"/>
    <w:rsid w:val="009B2BB9"/>
    <w:rsid w:val="009C5E6C"/>
    <w:rsid w:val="009D541C"/>
    <w:rsid w:val="009E0D84"/>
    <w:rsid w:val="009F4A48"/>
    <w:rsid w:val="00A056AA"/>
    <w:rsid w:val="00A3366B"/>
    <w:rsid w:val="00A34B6D"/>
    <w:rsid w:val="00A44545"/>
    <w:rsid w:val="00A650B5"/>
    <w:rsid w:val="00A7237A"/>
    <w:rsid w:val="00A91BDD"/>
    <w:rsid w:val="00A941FF"/>
    <w:rsid w:val="00AA5435"/>
    <w:rsid w:val="00AB5197"/>
    <w:rsid w:val="00AC119C"/>
    <w:rsid w:val="00AD5EEA"/>
    <w:rsid w:val="00AE77EF"/>
    <w:rsid w:val="00AF78F5"/>
    <w:rsid w:val="00B139A0"/>
    <w:rsid w:val="00B33664"/>
    <w:rsid w:val="00B355D2"/>
    <w:rsid w:val="00B47323"/>
    <w:rsid w:val="00B50C61"/>
    <w:rsid w:val="00B60905"/>
    <w:rsid w:val="00B6152F"/>
    <w:rsid w:val="00B70D4C"/>
    <w:rsid w:val="00B74FC1"/>
    <w:rsid w:val="00B85539"/>
    <w:rsid w:val="00BA53D7"/>
    <w:rsid w:val="00BB0B71"/>
    <w:rsid w:val="00BB3E9F"/>
    <w:rsid w:val="00BC412F"/>
    <w:rsid w:val="00C06EBF"/>
    <w:rsid w:val="00C163F6"/>
    <w:rsid w:val="00C222A0"/>
    <w:rsid w:val="00C31678"/>
    <w:rsid w:val="00C40E23"/>
    <w:rsid w:val="00C70FF4"/>
    <w:rsid w:val="00CC7FF3"/>
    <w:rsid w:val="00CD2A44"/>
    <w:rsid w:val="00CD3C72"/>
    <w:rsid w:val="00CF06E1"/>
    <w:rsid w:val="00D0548F"/>
    <w:rsid w:val="00D33F3D"/>
    <w:rsid w:val="00D767C5"/>
    <w:rsid w:val="00D850F2"/>
    <w:rsid w:val="00D921FA"/>
    <w:rsid w:val="00D922AC"/>
    <w:rsid w:val="00DA65E0"/>
    <w:rsid w:val="00DB79E3"/>
    <w:rsid w:val="00DF0877"/>
    <w:rsid w:val="00E2122E"/>
    <w:rsid w:val="00E55357"/>
    <w:rsid w:val="00E70CF0"/>
    <w:rsid w:val="00E745B7"/>
    <w:rsid w:val="00E8323C"/>
    <w:rsid w:val="00EA020F"/>
    <w:rsid w:val="00EB7134"/>
    <w:rsid w:val="00EC138E"/>
    <w:rsid w:val="00EE1583"/>
    <w:rsid w:val="00EF0070"/>
    <w:rsid w:val="00EF110A"/>
    <w:rsid w:val="00EF4900"/>
    <w:rsid w:val="00EF7375"/>
    <w:rsid w:val="00F002D7"/>
    <w:rsid w:val="00F05D74"/>
    <w:rsid w:val="00F05F85"/>
    <w:rsid w:val="00F10291"/>
    <w:rsid w:val="00F14772"/>
    <w:rsid w:val="00F22D96"/>
    <w:rsid w:val="00F353D5"/>
    <w:rsid w:val="00F47256"/>
    <w:rsid w:val="00F566E2"/>
    <w:rsid w:val="00F642DC"/>
    <w:rsid w:val="00F705A6"/>
    <w:rsid w:val="00F77CB2"/>
    <w:rsid w:val="00FA1382"/>
    <w:rsid w:val="00FA20D4"/>
    <w:rsid w:val="00FA533D"/>
    <w:rsid w:val="00FB1BAA"/>
    <w:rsid w:val="00FB450A"/>
    <w:rsid w:val="00FC09AD"/>
    <w:rsid w:val="00FD08BF"/>
    <w:rsid w:val="00FD176E"/>
    <w:rsid w:val="00FD3C0A"/>
    <w:rsid w:val="00FD75FD"/>
    <w:rsid w:val="00FE30B4"/>
    <w:rsid w:val="00FE6658"/>
    <w:rsid w:val="00FE6E74"/>
    <w:rsid w:val="00FE70A8"/>
    <w:rsid w:val="02AB1E41"/>
    <w:rsid w:val="04BD68A2"/>
    <w:rsid w:val="04BE4444"/>
    <w:rsid w:val="064F7EE6"/>
    <w:rsid w:val="06EC34B6"/>
    <w:rsid w:val="08976D16"/>
    <w:rsid w:val="09774206"/>
    <w:rsid w:val="097B310D"/>
    <w:rsid w:val="0C0E6422"/>
    <w:rsid w:val="0CC02FC2"/>
    <w:rsid w:val="0CD93F52"/>
    <w:rsid w:val="0E2F7B4A"/>
    <w:rsid w:val="104B3525"/>
    <w:rsid w:val="10853477"/>
    <w:rsid w:val="13D70F34"/>
    <w:rsid w:val="14B46A8E"/>
    <w:rsid w:val="14D5207B"/>
    <w:rsid w:val="15E3525D"/>
    <w:rsid w:val="16A3197D"/>
    <w:rsid w:val="19201804"/>
    <w:rsid w:val="193C5988"/>
    <w:rsid w:val="197848E4"/>
    <w:rsid w:val="1B4928A4"/>
    <w:rsid w:val="1C274062"/>
    <w:rsid w:val="1C6A6BF5"/>
    <w:rsid w:val="1DC74747"/>
    <w:rsid w:val="22675A41"/>
    <w:rsid w:val="24AB7BA5"/>
    <w:rsid w:val="25627530"/>
    <w:rsid w:val="260440D1"/>
    <w:rsid w:val="271952F3"/>
    <w:rsid w:val="28423580"/>
    <w:rsid w:val="29A316D2"/>
    <w:rsid w:val="2BD20E79"/>
    <w:rsid w:val="2C1313C2"/>
    <w:rsid w:val="2DEA0421"/>
    <w:rsid w:val="30621202"/>
    <w:rsid w:val="32C17D8F"/>
    <w:rsid w:val="32ED4937"/>
    <w:rsid w:val="332073D6"/>
    <w:rsid w:val="350E0808"/>
    <w:rsid w:val="37CEEAD3"/>
    <w:rsid w:val="3A3C2A69"/>
    <w:rsid w:val="3A4B43DF"/>
    <w:rsid w:val="3A8B4B48"/>
    <w:rsid w:val="3C3F57EB"/>
    <w:rsid w:val="3C4C6E16"/>
    <w:rsid w:val="3E7769EE"/>
    <w:rsid w:val="3F847823"/>
    <w:rsid w:val="3FED4A47"/>
    <w:rsid w:val="41BD7848"/>
    <w:rsid w:val="433838EE"/>
    <w:rsid w:val="43850D66"/>
    <w:rsid w:val="45773181"/>
    <w:rsid w:val="47E323A1"/>
    <w:rsid w:val="48347F4E"/>
    <w:rsid w:val="48CC7DDE"/>
    <w:rsid w:val="4BA048A9"/>
    <w:rsid w:val="4CA05D80"/>
    <w:rsid w:val="4E3E6D84"/>
    <w:rsid w:val="4FD001A3"/>
    <w:rsid w:val="51487FA3"/>
    <w:rsid w:val="52276AD0"/>
    <w:rsid w:val="547F306A"/>
    <w:rsid w:val="55C75F82"/>
    <w:rsid w:val="55D476C5"/>
    <w:rsid w:val="56223FBF"/>
    <w:rsid w:val="56AF1DAB"/>
    <w:rsid w:val="5A595F2C"/>
    <w:rsid w:val="5ACA1FEF"/>
    <w:rsid w:val="5C820153"/>
    <w:rsid w:val="5DDD3DC5"/>
    <w:rsid w:val="5EAE11C3"/>
    <w:rsid w:val="62DF666A"/>
    <w:rsid w:val="62EA5634"/>
    <w:rsid w:val="63766D5D"/>
    <w:rsid w:val="65490645"/>
    <w:rsid w:val="664963EB"/>
    <w:rsid w:val="67285B6F"/>
    <w:rsid w:val="67B833D3"/>
    <w:rsid w:val="67BE5112"/>
    <w:rsid w:val="6AF65A0E"/>
    <w:rsid w:val="6BF17A66"/>
    <w:rsid w:val="6CF21D17"/>
    <w:rsid w:val="6E3F1C17"/>
    <w:rsid w:val="6F766E1F"/>
    <w:rsid w:val="6FEB3EF1"/>
    <w:rsid w:val="70AD355C"/>
    <w:rsid w:val="72A5076B"/>
    <w:rsid w:val="744E1884"/>
    <w:rsid w:val="77230577"/>
    <w:rsid w:val="775C2B4C"/>
    <w:rsid w:val="77FFF30A"/>
    <w:rsid w:val="798544F4"/>
    <w:rsid w:val="7AFC4240"/>
    <w:rsid w:val="7B3626C5"/>
    <w:rsid w:val="7C6A6FB5"/>
    <w:rsid w:val="7C759CCD"/>
    <w:rsid w:val="7D6A7DBD"/>
    <w:rsid w:val="7DE425FE"/>
    <w:rsid w:val="7DEFDE04"/>
    <w:rsid w:val="7F8A1832"/>
    <w:rsid w:val="7FDF5B69"/>
    <w:rsid w:val="7FF170FE"/>
    <w:rsid w:val="95AF697E"/>
    <w:rsid w:val="B77EF510"/>
    <w:rsid w:val="BECD6D3B"/>
    <w:rsid w:val="BEFF9172"/>
    <w:rsid w:val="D93B43DF"/>
    <w:rsid w:val="DDFEB3FC"/>
    <w:rsid w:val="EFFFCD33"/>
    <w:rsid w:val="F3FF406D"/>
    <w:rsid w:val="F7FDDAD7"/>
    <w:rsid w:val="FB5EBF08"/>
    <w:rsid w:val="FF5C7C6C"/>
    <w:rsid w:val="FF6BC38A"/>
    <w:rsid w:val="FFE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outlineLvl w:val="1"/>
    </w:pPr>
    <w:rPr>
      <w:bCs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21"/>
    <w:qFormat/>
    <w:uiPriority w:val="99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22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Cs w:val="32"/>
      <w:lang w:val="zh-CN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link w:val="24"/>
    <w:qFormat/>
    <w:uiPriority w:val="99"/>
    <w:pPr>
      <w:spacing w:beforeLines="50" w:afterLines="50"/>
      <w:ind w:firstLine="0" w:firstLineChars="0"/>
      <w:jc w:val="center"/>
    </w:pPr>
    <w:rPr>
      <w:bCs/>
      <w:kern w:val="28"/>
      <w:sz w:val="36"/>
      <w:szCs w:val="32"/>
    </w:rPr>
  </w:style>
  <w:style w:type="paragraph" w:styleId="11">
    <w:name w:val="Title"/>
    <w:basedOn w:val="1"/>
    <w:next w:val="1"/>
    <w:link w:val="25"/>
    <w:qFormat/>
    <w:uiPriority w:val="99"/>
    <w:pPr>
      <w:spacing w:line="72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styleId="16">
    <w:name w:val="Hyperlink"/>
    <w:basedOn w:val="14"/>
    <w:semiHidden/>
    <w:qFormat/>
    <w:uiPriority w:val="99"/>
    <w:rPr>
      <w:rFonts w:cs="Times New Roman"/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 w:cs="Times New Roman"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Times New Roman" w:hAnsi="Times New Roman" w:cs="Times New Roman"/>
      <w:bCs/>
      <w:sz w:val="32"/>
      <w:szCs w:val="32"/>
    </w:rPr>
  </w:style>
  <w:style w:type="character" w:customStyle="1" w:styleId="19">
    <w:name w:val="Heading 3 Char"/>
    <w:basedOn w:val="14"/>
    <w:link w:val="4"/>
    <w:qFormat/>
    <w:locked/>
    <w:uiPriority w:val="99"/>
    <w:rPr>
      <w:rFonts w:eastAsia="Times New Roman" w:cs="Times New Roman"/>
      <w:b/>
      <w:bCs/>
      <w:sz w:val="32"/>
      <w:szCs w:val="32"/>
    </w:rPr>
  </w:style>
  <w:style w:type="character" w:customStyle="1" w:styleId="20">
    <w:name w:val="Heading 4 Char"/>
    <w:basedOn w:val="14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1">
    <w:name w:val="Heading 5 Char"/>
    <w:basedOn w:val="14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2">
    <w:name w:val="Body Text Char"/>
    <w:basedOn w:val="14"/>
    <w:link w:val="7"/>
    <w:semiHidden/>
    <w:qFormat/>
    <w:locked/>
    <w:uiPriority w:val="99"/>
    <w:rPr>
      <w:rFonts w:cs="Times New Roman"/>
      <w:sz w:val="32"/>
    </w:rPr>
  </w:style>
  <w:style w:type="character" w:customStyle="1" w:styleId="23">
    <w:name w:val="Footer Char"/>
    <w:basedOn w:val="14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Subtitle Char"/>
    <w:basedOn w:val="14"/>
    <w:link w:val="10"/>
    <w:qFormat/>
    <w:locked/>
    <w:uiPriority w:val="99"/>
    <w:rPr>
      <w:rFonts w:eastAsia="Times New Roman" w:cs="Times New Roman"/>
      <w:bCs/>
      <w:kern w:val="28"/>
      <w:sz w:val="32"/>
      <w:szCs w:val="32"/>
    </w:rPr>
  </w:style>
  <w:style w:type="character" w:customStyle="1" w:styleId="25">
    <w:name w:val="Title Char"/>
    <w:basedOn w:val="14"/>
    <w:link w:val="11"/>
    <w:qFormat/>
    <w:locked/>
    <w:uiPriority w:val="99"/>
    <w:rPr>
      <w:rFonts w:ascii="Times New Roman" w:hAnsi="Times New Roman" w:eastAsia="方正小标宋简体" w:cs="Times New Roman"/>
      <w:bCs/>
      <w:sz w:val="32"/>
      <w:szCs w:val="32"/>
    </w:rPr>
  </w:style>
  <w:style w:type="paragraph" w:customStyle="1" w:styleId="26">
    <w:name w:val="Revision1"/>
    <w:hidden/>
    <w:semiHidden/>
    <w:qFormat/>
    <w:uiPriority w:val="99"/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customStyle="1" w:styleId="27">
    <w:name w:val="Heading 11"/>
    <w:basedOn w:val="1"/>
    <w:qFormat/>
    <w:uiPriority w:val="99"/>
    <w:pPr>
      <w:autoSpaceDE w:val="0"/>
      <w:autoSpaceDN w:val="0"/>
      <w:spacing w:before="57"/>
      <w:ind w:left="334"/>
      <w:jc w:val="left"/>
      <w:outlineLvl w:val="1"/>
    </w:pPr>
    <w:rPr>
      <w:rFonts w:ascii="宋体" w:hAnsi="宋体" w:cs="宋体"/>
      <w:kern w:val="0"/>
      <w:sz w:val="44"/>
      <w:szCs w:val="44"/>
      <w:lang w:val="zh-CN"/>
    </w:rPr>
  </w:style>
  <w:style w:type="paragraph" w:customStyle="1" w:styleId="28">
    <w:name w:val="Table Paragraph"/>
    <w:basedOn w:val="1"/>
    <w:qFormat/>
    <w:uiPriority w:val="99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407</Words>
  <Characters>2324</Characters>
  <Lines>0</Lines>
  <Paragraphs>0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2021-06-16T06:33:00Z</dcterms:created>
  <dc:creator>发改信用 王洪帅</dc:creator>
  <cp:lastModifiedBy>泰安发改财贸</cp:lastModifiedBy>
  <cp:lastPrinted>2021-06-28T09:03:32Z</cp:lastPrinted>
  <dcterms:modified xsi:type="dcterms:W3CDTF">2021-06-28T09:04:34Z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B161CE0B3F314503A48DB9B9D17BB084</vt:lpwstr>
  </property>
</Properties>
</file>